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5A70" w14:textId="1CD58A94" w:rsidR="00C7676D" w:rsidRDefault="00C7676D" w:rsidP="007F3727">
      <w:pPr>
        <w:ind w:left="2160" w:firstLine="720"/>
        <w:rPr>
          <w:b/>
          <w:sz w:val="40"/>
        </w:rPr>
      </w:pPr>
      <w:r>
        <w:rPr>
          <w:b/>
          <w:noProof/>
          <w:sz w:val="40"/>
        </w:rPr>
        <w:drawing>
          <wp:anchor distT="0" distB="0" distL="114300" distR="114300" simplePos="0" relativeHeight="251658240" behindDoc="0" locked="0" layoutInCell="1" allowOverlap="1" wp14:anchorId="201FD422" wp14:editId="250FEB68">
            <wp:simplePos x="0" y="0"/>
            <wp:positionH relativeFrom="margin">
              <wp:align>right</wp:align>
            </wp:positionH>
            <wp:positionV relativeFrom="margin">
              <wp:posOffset>-508000</wp:posOffset>
            </wp:positionV>
            <wp:extent cx="1244600" cy="730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60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726F1" w14:textId="2ACD30CA" w:rsidR="007F3727" w:rsidRPr="00230652" w:rsidRDefault="007F3727" w:rsidP="007F3727">
      <w:pPr>
        <w:ind w:left="2160" w:firstLine="720"/>
        <w:rPr>
          <w:b/>
          <w:sz w:val="40"/>
        </w:rPr>
      </w:pPr>
      <w:r w:rsidRPr="00230652">
        <w:rPr>
          <w:b/>
          <w:sz w:val="40"/>
        </w:rPr>
        <w:t>PRESS RELEASE</w:t>
      </w:r>
    </w:p>
    <w:p w14:paraId="2C13F791" w14:textId="0C0D1138" w:rsidR="007F3727" w:rsidRPr="007C038A" w:rsidRDefault="007F3727" w:rsidP="007F3727">
      <w:pPr>
        <w:rPr>
          <w:color w:val="000000"/>
          <w:sz w:val="26"/>
          <w:szCs w:val="26"/>
        </w:rPr>
      </w:pPr>
      <w:r>
        <w:rPr>
          <w:color w:val="000000"/>
          <w:sz w:val="26"/>
          <w:szCs w:val="26"/>
        </w:rPr>
        <w:t>2</w:t>
      </w:r>
      <w:r w:rsidRPr="007F3727">
        <w:rPr>
          <w:color w:val="000000"/>
          <w:sz w:val="26"/>
          <w:szCs w:val="26"/>
          <w:vertAlign w:val="superscript"/>
        </w:rPr>
        <w:t>nd</w:t>
      </w:r>
      <w:r>
        <w:rPr>
          <w:color w:val="000000"/>
          <w:sz w:val="26"/>
          <w:szCs w:val="26"/>
        </w:rPr>
        <w:t xml:space="preserve"> December 2022</w:t>
      </w:r>
      <w:r w:rsidRPr="007C038A">
        <w:rPr>
          <w:color w:val="000000"/>
          <w:sz w:val="26"/>
          <w:szCs w:val="26"/>
        </w:rPr>
        <w:tab/>
      </w:r>
      <w:r>
        <w:rPr>
          <w:color w:val="000000"/>
          <w:sz w:val="26"/>
          <w:szCs w:val="26"/>
        </w:rPr>
        <w:tab/>
      </w:r>
      <w:r>
        <w:rPr>
          <w:color w:val="000000"/>
          <w:sz w:val="26"/>
          <w:szCs w:val="26"/>
        </w:rPr>
        <w:tab/>
      </w:r>
      <w:r>
        <w:rPr>
          <w:color w:val="000000"/>
          <w:sz w:val="26"/>
          <w:szCs w:val="26"/>
        </w:rPr>
        <w:tab/>
        <w:t xml:space="preserve">                                    </w:t>
      </w:r>
      <w:r w:rsidRPr="007C038A">
        <w:rPr>
          <w:color w:val="000000"/>
          <w:sz w:val="26"/>
          <w:szCs w:val="26"/>
        </w:rPr>
        <w:t xml:space="preserve">Ref: </w:t>
      </w:r>
      <w:r w:rsidR="0054104E">
        <w:rPr>
          <w:color w:val="000000"/>
          <w:sz w:val="26"/>
          <w:szCs w:val="26"/>
        </w:rPr>
        <w:t>02</w:t>
      </w:r>
      <w:r w:rsidR="00D17DB3">
        <w:rPr>
          <w:color w:val="000000"/>
          <w:sz w:val="26"/>
          <w:szCs w:val="26"/>
        </w:rPr>
        <w:t>-</w:t>
      </w:r>
      <w:r w:rsidR="0054104E">
        <w:rPr>
          <w:color w:val="000000"/>
          <w:sz w:val="26"/>
          <w:szCs w:val="26"/>
        </w:rPr>
        <w:t>12</w:t>
      </w:r>
      <w:r w:rsidR="00D17DB3">
        <w:rPr>
          <w:color w:val="000000"/>
          <w:sz w:val="26"/>
          <w:szCs w:val="26"/>
        </w:rPr>
        <w:t>-ITAINVEST</w:t>
      </w:r>
    </w:p>
    <w:p w14:paraId="2DAEF5AF" w14:textId="77777777" w:rsidR="007F3727" w:rsidRDefault="007F3727" w:rsidP="0073478D">
      <w:pPr>
        <w:spacing w:after="0" w:line="240" w:lineRule="auto"/>
        <w:rPr>
          <w:rFonts w:ascii="Open Sans" w:hAnsi="Open Sans" w:cs="Open Sans"/>
          <w:color w:val="666666"/>
          <w:sz w:val="21"/>
          <w:szCs w:val="21"/>
        </w:rPr>
      </w:pPr>
    </w:p>
    <w:p w14:paraId="1DD5CA4A" w14:textId="3CAE506D" w:rsidR="00D032DE" w:rsidRPr="007F3727" w:rsidRDefault="007F3727" w:rsidP="0073478D">
      <w:pPr>
        <w:spacing w:after="0" w:line="240" w:lineRule="auto"/>
        <w:rPr>
          <w:rFonts w:cstheme="minorHAnsi"/>
          <w:b/>
          <w:bCs/>
          <w:sz w:val="34"/>
          <w:szCs w:val="34"/>
        </w:rPr>
      </w:pPr>
      <w:bookmarkStart w:id="0" w:name="_Hlk120702317"/>
      <w:r w:rsidRPr="007F3727">
        <w:rPr>
          <w:rFonts w:cstheme="minorHAnsi"/>
          <w:b/>
          <w:bCs/>
          <w:sz w:val="34"/>
          <w:szCs w:val="34"/>
        </w:rPr>
        <w:t>ITA</w:t>
      </w:r>
      <w:r w:rsidR="00D032DE" w:rsidRPr="007F3727">
        <w:rPr>
          <w:rFonts w:cstheme="minorHAnsi"/>
          <w:b/>
          <w:bCs/>
          <w:sz w:val="34"/>
          <w:szCs w:val="34"/>
        </w:rPr>
        <w:t xml:space="preserve"> </w:t>
      </w:r>
      <w:r w:rsidR="00664D25">
        <w:rPr>
          <w:rFonts w:cstheme="minorHAnsi"/>
          <w:b/>
          <w:bCs/>
          <w:sz w:val="34"/>
          <w:szCs w:val="34"/>
        </w:rPr>
        <w:t>calls for investment</w:t>
      </w:r>
      <w:r w:rsidR="00C96E2B">
        <w:rPr>
          <w:rFonts w:cstheme="minorHAnsi"/>
          <w:b/>
          <w:bCs/>
          <w:sz w:val="34"/>
          <w:szCs w:val="34"/>
        </w:rPr>
        <w:t xml:space="preserve"> in supply</w:t>
      </w:r>
      <w:r w:rsidR="00664D25">
        <w:rPr>
          <w:rFonts w:cstheme="minorHAnsi"/>
          <w:b/>
          <w:bCs/>
          <w:sz w:val="34"/>
          <w:szCs w:val="34"/>
        </w:rPr>
        <w:t xml:space="preserve"> to secure tin’s critical role</w:t>
      </w:r>
    </w:p>
    <w:bookmarkEnd w:id="0"/>
    <w:p w14:paraId="47F7993E" w14:textId="245115AC" w:rsidR="00D032DE" w:rsidRPr="004A66A4" w:rsidRDefault="00FB092A" w:rsidP="0073478D">
      <w:pPr>
        <w:spacing w:after="0" w:line="240" w:lineRule="auto"/>
      </w:pPr>
      <w:r>
        <w:rPr>
          <w:rFonts w:cstheme="minorHAnsi"/>
          <w:noProof/>
        </w:rPr>
        <w:drawing>
          <wp:anchor distT="0" distB="0" distL="114300" distR="114300" simplePos="0" relativeHeight="251660288" behindDoc="0" locked="0" layoutInCell="1" allowOverlap="1" wp14:anchorId="3A4D50A3" wp14:editId="1FCFA9A5">
            <wp:simplePos x="0" y="0"/>
            <wp:positionH relativeFrom="column">
              <wp:posOffset>4264244</wp:posOffset>
            </wp:positionH>
            <wp:positionV relativeFrom="paragraph">
              <wp:posOffset>176530</wp:posOffset>
            </wp:positionV>
            <wp:extent cx="1479550" cy="1323975"/>
            <wp:effectExtent l="0" t="0" r="635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606" t="14510" r="17159" b="25486"/>
                    <a:stretch/>
                  </pic:blipFill>
                  <pic:spPr bwMode="auto">
                    <a:xfrm>
                      <a:off x="0" y="0"/>
                      <a:ext cx="1479550"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DFE1B6" w14:textId="2C286255" w:rsidR="00D032DE" w:rsidRPr="007F3727" w:rsidRDefault="00D032DE" w:rsidP="00D032DE">
      <w:pPr>
        <w:spacing w:after="0" w:line="240" w:lineRule="auto"/>
        <w:rPr>
          <w:rFonts w:cstheme="minorHAnsi"/>
        </w:rPr>
      </w:pPr>
      <w:r w:rsidRPr="007F3727">
        <w:rPr>
          <w:rFonts w:cstheme="minorHAnsi"/>
        </w:rPr>
        <w:t xml:space="preserve">During the annual </w:t>
      </w:r>
      <w:bookmarkStart w:id="1" w:name="_Hlk120702387"/>
      <w:r w:rsidRPr="007F3727">
        <w:rPr>
          <w:rFonts w:cstheme="minorHAnsi"/>
        </w:rPr>
        <w:t xml:space="preserve">International Tin Association’s (ITA) </w:t>
      </w:r>
      <w:bookmarkEnd w:id="1"/>
      <w:r w:rsidRPr="007F3727">
        <w:rPr>
          <w:rFonts w:cstheme="minorHAnsi"/>
        </w:rPr>
        <w:t xml:space="preserve">Investing in Tin Seminar, </w:t>
      </w:r>
      <w:bookmarkStart w:id="2" w:name="_Hlk120701590"/>
      <w:r w:rsidRPr="007F3727">
        <w:rPr>
          <w:rFonts w:cstheme="minorHAnsi"/>
        </w:rPr>
        <w:t xml:space="preserve">the organisation </w:t>
      </w:r>
      <w:r w:rsidR="00F873F0">
        <w:rPr>
          <w:rFonts w:cstheme="minorHAnsi"/>
        </w:rPr>
        <w:t xml:space="preserve">presented </w:t>
      </w:r>
      <w:r w:rsidRPr="007F3727">
        <w:rPr>
          <w:rFonts w:cstheme="minorHAnsi"/>
        </w:rPr>
        <w:t>it</w:t>
      </w:r>
      <w:r w:rsidR="00F873F0">
        <w:rPr>
          <w:rFonts w:cstheme="minorHAnsi"/>
        </w:rPr>
        <w:t>s</w:t>
      </w:r>
      <w:r w:rsidRPr="007F3727">
        <w:rPr>
          <w:rFonts w:cstheme="minorHAnsi"/>
        </w:rPr>
        <w:t xml:space="preserve"> vision for the future of tin</w:t>
      </w:r>
      <w:r w:rsidR="00664D25">
        <w:rPr>
          <w:rFonts w:cstheme="minorHAnsi"/>
        </w:rPr>
        <w:t xml:space="preserve"> with the </w:t>
      </w:r>
      <w:r w:rsidRPr="007F3727">
        <w:rPr>
          <w:rFonts w:cstheme="minorHAnsi"/>
        </w:rPr>
        <w:t xml:space="preserve">latest </w:t>
      </w:r>
      <w:r w:rsidR="007F3727" w:rsidRPr="007F3727">
        <w:rPr>
          <w:rFonts w:cstheme="minorHAnsi"/>
        </w:rPr>
        <w:t>strategic thinking</w:t>
      </w:r>
      <w:r w:rsidR="00664D25">
        <w:rPr>
          <w:rFonts w:cstheme="minorHAnsi"/>
        </w:rPr>
        <w:t xml:space="preserve"> of the industry</w:t>
      </w:r>
      <w:r w:rsidRPr="007F3727">
        <w:rPr>
          <w:rFonts w:cstheme="minorHAnsi"/>
        </w:rPr>
        <w:t>.</w:t>
      </w:r>
      <w:r w:rsidR="00664D25">
        <w:rPr>
          <w:rFonts w:cstheme="minorHAnsi"/>
        </w:rPr>
        <w:t xml:space="preserve"> There is a </w:t>
      </w:r>
      <w:r w:rsidR="00EE547D">
        <w:rPr>
          <w:rFonts w:cstheme="minorHAnsi"/>
        </w:rPr>
        <w:t>major</w:t>
      </w:r>
      <w:r w:rsidR="00C77DCF">
        <w:rPr>
          <w:rFonts w:cstheme="minorHAnsi"/>
        </w:rPr>
        <w:t xml:space="preserve"> </w:t>
      </w:r>
      <w:r w:rsidR="004A66A4" w:rsidRPr="007F3727">
        <w:rPr>
          <w:rFonts w:cstheme="minorHAnsi"/>
        </w:rPr>
        <w:t xml:space="preserve">investment </w:t>
      </w:r>
      <w:r w:rsidR="00A0752E">
        <w:rPr>
          <w:rFonts w:cstheme="minorHAnsi"/>
        </w:rPr>
        <w:t>opportunity for</w:t>
      </w:r>
      <w:r w:rsidR="004A66A4" w:rsidRPr="007F3727">
        <w:rPr>
          <w:rFonts w:cstheme="minorHAnsi"/>
        </w:rPr>
        <w:t xml:space="preserve"> </w:t>
      </w:r>
      <w:r w:rsidR="00664D25">
        <w:rPr>
          <w:rFonts w:cstheme="minorHAnsi"/>
        </w:rPr>
        <w:t xml:space="preserve">tin </w:t>
      </w:r>
      <w:r w:rsidR="00151ED4">
        <w:rPr>
          <w:rFonts w:cstheme="minorHAnsi"/>
        </w:rPr>
        <w:t xml:space="preserve">mining and recycling as the </w:t>
      </w:r>
      <w:r w:rsidR="006B5101">
        <w:rPr>
          <w:rFonts w:cstheme="minorHAnsi"/>
        </w:rPr>
        <w:t>metal is a vital</w:t>
      </w:r>
      <w:r w:rsidR="00664D25">
        <w:rPr>
          <w:rFonts w:cstheme="minorHAnsi"/>
        </w:rPr>
        <w:t xml:space="preserve"> </w:t>
      </w:r>
      <w:r w:rsidR="006B5101">
        <w:rPr>
          <w:rFonts w:cstheme="minorHAnsi"/>
        </w:rPr>
        <w:t xml:space="preserve">ingredient in </w:t>
      </w:r>
      <w:r w:rsidR="00664D25">
        <w:rPr>
          <w:rFonts w:cstheme="minorHAnsi"/>
        </w:rPr>
        <w:t xml:space="preserve">solar energy, electric </w:t>
      </w:r>
      <w:proofErr w:type="gramStart"/>
      <w:r w:rsidR="002A4D74">
        <w:rPr>
          <w:rFonts w:cstheme="minorHAnsi"/>
        </w:rPr>
        <w:t>vehicles</w:t>
      </w:r>
      <w:proofErr w:type="gramEnd"/>
      <w:r w:rsidR="00890C58">
        <w:rPr>
          <w:rFonts w:cstheme="minorHAnsi"/>
        </w:rPr>
        <w:t xml:space="preserve"> </w:t>
      </w:r>
      <w:r w:rsidR="00664D25">
        <w:rPr>
          <w:rFonts w:cstheme="minorHAnsi"/>
        </w:rPr>
        <w:t xml:space="preserve">and other future technologies. </w:t>
      </w:r>
      <w:bookmarkEnd w:id="2"/>
    </w:p>
    <w:p w14:paraId="5C5865E6" w14:textId="77777777" w:rsidR="00266C65" w:rsidRPr="004A66A4" w:rsidRDefault="00266C65" w:rsidP="0073478D">
      <w:pPr>
        <w:pStyle w:val="NormalWeb"/>
        <w:shd w:val="clear" w:color="auto" w:fill="FFFFFF"/>
        <w:spacing w:before="0" w:beforeAutospacing="0" w:after="0" w:afterAutospacing="0"/>
        <w:textAlignment w:val="baseline"/>
      </w:pPr>
    </w:p>
    <w:p w14:paraId="2778E099" w14:textId="72FCF57E" w:rsidR="002B522F" w:rsidRPr="004A66A4" w:rsidRDefault="00D032DE" w:rsidP="002B522F">
      <w:pPr>
        <w:spacing w:after="0" w:line="240" w:lineRule="auto"/>
      </w:pPr>
      <w:bookmarkStart w:id="3" w:name="_Hlk120701698"/>
      <w:r w:rsidRPr="004A66A4">
        <w:t>“</w:t>
      </w:r>
      <w:r w:rsidR="002B522F" w:rsidRPr="004A66A4">
        <w:t xml:space="preserve">Over the next decade we believe demand for tin will </w:t>
      </w:r>
      <w:r w:rsidR="002E3CC8" w:rsidRPr="004A66A4">
        <w:t xml:space="preserve">surge as </w:t>
      </w:r>
      <w:r w:rsidR="006B5101">
        <w:t>the technology supercycle</w:t>
      </w:r>
      <w:r w:rsidR="002B522F" w:rsidRPr="004A66A4">
        <w:t xml:space="preserve"> </w:t>
      </w:r>
      <w:r w:rsidR="00D05F56" w:rsidRPr="004A66A4">
        <w:t>bring</w:t>
      </w:r>
      <w:r w:rsidR="006B5101">
        <w:t>s</w:t>
      </w:r>
      <w:r w:rsidR="00D05F56" w:rsidRPr="004A66A4">
        <w:t xml:space="preserve"> unprecedented opportunities for </w:t>
      </w:r>
      <w:r w:rsidR="002B522F" w:rsidRPr="004A66A4">
        <w:t xml:space="preserve">the tin industry,” said </w:t>
      </w:r>
      <w:r w:rsidR="00FD1B52" w:rsidRPr="00FD1B52">
        <w:t>Dr Jeremy Pearce</w:t>
      </w:r>
      <w:r w:rsidR="00FD1B52">
        <w:t xml:space="preserve">, Head of </w:t>
      </w:r>
      <w:r w:rsidR="00FD1B52" w:rsidRPr="00FD1B52">
        <w:t>Market Intelligence &amp; Communications</w:t>
      </w:r>
      <w:r w:rsidR="00FD1B52">
        <w:t xml:space="preserve"> at ITA</w:t>
      </w:r>
      <w:r w:rsidR="002B522F" w:rsidRPr="004A66A4">
        <w:t>. “</w:t>
      </w:r>
      <w:r w:rsidR="00664D25">
        <w:t>T</w:t>
      </w:r>
      <w:r w:rsidR="004A66A4" w:rsidRPr="004A66A4">
        <w:t xml:space="preserve">he </w:t>
      </w:r>
      <w:r w:rsidR="002B522F" w:rsidRPr="004A66A4">
        <w:t xml:space="preserve">sector will need to adapt rapidly to </w:t>
      </w:r>
      <w:r w:rsidR="004A66A4" w:rsidRPr="004A66A4">
        <w:t xml:space="preserve">meet </w:t>
      </w:r>
      <w:r w:rsidR="004A66A4">
        <w:t>this demand</w:t>
      </w:r>
      <w:r w:rsidR="004A66A4" w:rsidRPr="004A66A4">
        <w:t xml:space="preserve"> as the </w:t>
      </w:r>
      <w:r w:rsidR="00D17DB3">
        <w:t xml:space="preserve">role </w:t>
      </w:r>
      <w:r w:rsidR="004A66A4" w:rsidRPr="004A66A4">
        <w:t>of tin in enabling the energy transition and digit</w:t>
      </w:r>
      <w:r w:rsidR="005B5357">
        <w:t>i</w:t>
      </w:r>
      <w:r w:rsidR="004A66A4" w:rsidRPr="004A66A4">
        <w:t>sation becomes more obvious</w:t>
      </w:r>
      <w:r w:rsidR="002B522F" w:rsidRPr="004A66A4">
        <w:t>”.</w:t>
      </w:r>
    </w:p>
    <w:bookmarkEnd w:id="3"/>
    <w:p w14:paraId="27788ACC" w14:textId="0C2C81CD" w:rsidR="002B522F" w:rsidRPr="004A66A4" w:rsidRDefault="002B522F" w:rsidP="00D032DE">
      <w:pPr>
        <w:spacing w:after="0" w:line="240" w:lineRule="auto"/>
      </w:pPr>
    </w:p>
    <w:p w14:paraId="4874D8D8" w14:textId="294E56C1" w:rsidR="002B522F" w:rsidRPr="00FD1B52" w:rsidRDefault="00D032DE" w:rsidP="00B41766">
      <w:pPr>
        <w:spacing w:after="0" w:line="240" w:lineRule="auto"/>
        <w:rPr>
          <w:rFonts w:ascii="Calibri" w:eastAsia="Calibri" w:hAnsi="Calibri" w:cs="Calibri"/>
        </w:rPr>
      </w:pPr>
      <w:r w:rsidRPr="00FD1B52">
        <w:rPr>
          <w:rFonts w:ascii="Calibri" w:eastAsia="Calibri" w:hAnsi="Calibri" w:cs="Calibri"/>
        </w:rPr>
        <w:t xml:space="preserve">During the </w:t>
      </w:r>
      <w:r w:rsidR="004A66A4" w:rsidRPr="00FD1B52">
        <w:rPr>
          <w:rFonts w:ascii="Calibri" w:eastAsia="Calibri" w:hAnsi="Calibri" w:cs="Calibri"/>
        </w:rPr>
        <w:t>event</w:t>
      </w:r>
      <w:r w:rsidR="002B522F" w:rsidRPr="00FD1B52">
        <w:rPr>
          <w:rFonts w:ascii="Calibri" w:eastAsia="Calibri" w:hAnsi="Calibri" w:cs="Calibri"/>
        </w:rPr>
        <w:t>,</w:t>
      </w:r>
      <w:r w:rsidRPr="00FD1B52">
        <w:rPr>
          <w:rFonts w:ascii="Calibri" w:eastAsia="Calibri" w:hAnsi="Calibri" w:cs="Calibri"/>
        </w:rPr>
        <w:t xml:space="preserve"> ITA </w:t>
      </w:r>
      <w:r w:rsidR="00664D25">
        <w:rPr>
          <w:rFonts w:ascii="Calibri" w:eastAsia="Calibri" w:hAnsi="Calibri" w:cs="Calibri"/>
        </w:rPr>
        <w:t xml:space="preserve">previewed </w:t>
      </w:r>
      <w:r w:rsidR="00B41766">
        <w:t xml:space="preserve">first stage </w:t>
      </w:r>
      <w:r w:rsidR="006B5101">
        <w:t xml:space="preserve">results </w:t>
      </w:r>
      <w:r w:rsidR="00B41766">
        <w:t xml:space="preserve">of its TIN2030 </w:t>
      </w:r>
      <w:r w:rsidR="00F07F0D">
        <w:t>initiative</w:t>
      </w:r>
      <w:r w:rsidRPr="00FD1B52">
        <w:rPr>
          <w:rFonts w:ascii="Calibri" w:eastAsia="Calibri" w:hAnsi="Calibri" w:cs="Calibri"/>
        </w:rPr>
        <w:t xml:space="preserve">. </w:t>
      </w:r>
      <w:r w:rsidR="00826186">
        <w:rPr>
          <w:rFonts w:ascii="Calibri" w:eastAsia="Calibri" w:hAnsi="Calibri" w:cs="Calibri"/>
        </w:rPr>
        <w:t>This</w:t>
      </w:r>
      <w:r w:rsidR="006B5101">
        <w:rPr>
          <w:rFonts w:ascii="Calibri" w:eastAsia="Calibri" w:hAnsi="Calibri" w:cs="Calibri"/>
        </w:rPr>
        <w:t xml:space="preserve"> </w:t>
      </w:r>
      <w:r w:rsidR="00B20FC3">
        <w:rPr>
          <w:rFonts w:ascii="Calibri" w:eastAsia="Calibri" w:hAnsi="Calibri" w:cs="Calibri"/>
        </w:rPr>
        <w:t xml:space="preserve">industry </w:t>
      </w:r>
      <w:r w:rsidR="006B5101">
        <w:rPr>
          <w:rFonts w:ascii="Calibri" w:eastAsia="Calibri" w:hAnsi="Calibri" w:cs="Calibri"/>
        </w:rPr>
        <w:t xml:space="preserve">vision to 2030 </w:t>
      </w:r>
      <w:r w:rsidR="00131B11" w:rsidRPr="00FD1B52">
        <w:rPr>
          <w:rFonts w:ascii="Calibri" w:eastAsia="Calibri" w:hAnsi="Calibri" w:cs="Calibri"/>
        </w:rPr>
        <w:t>look</w:t>
      </w:r>
      <w:r w:rsidR="006B5101">
        <w:rPr>
          <w:rFonts w:ascii="Calibri" w:eastAsia="Calibri" w:hAnsi="Calibri" w:cs="Calibri"/>
        </w:rPr>
        <w:t>s</w:t>
      </w:r>
      <w:r w:rsidR="00266C65" w:rsidRPr="00FD1B52">
        <w:rPr>
          <w:rFonts w:ascii="Calibri" w:eastAsia="Calibri" w:hAnsi="Calibri" w:cs="Calibri"/>
        </w:rPr>
        <w:t xml:space="preserve"> at the sector through the lens of </w:t>
      </w:r>
      <w:r w:rsidR="00266C65">
        <w:t>macroeconomic influences,</w:t>
      </w:r>
      <w:r w:rsidR="00266C65" w:rsidRPr="00266C65">
        <w:t xml:space="preserve"> </w:t>
      </w:r>
      <w:r w:rsidR="00266C65">
        <w:t xml:space="preserve">growing sustainability </w:t>
      </w:r>
      <w:r w:rsidR="00D17DB3">
        <w:t xml:space="preserve">pressures and opportunities </w:t>
      </w:r>
      <w:r w:rsidR="00266C65">
        <w:t xml:space="preserve">and the role of technology. It concludes with a wakeup call </w:t>
      </w:r>
      <w:r w:rsidR="006B5101">
        <w:t>to</w:t>
      </w:r>
      <w:r w:rsidR="00266C65">
        <w:t xml:space="preserve"> the </w:t>
      </w:r>
      <w:r w:rsidR="000B3C40">
        <w:t xml:space="preserve">crucial </w:t>
      </w:r>
      <w:r w:rsidR="00D536D4">
        <w:t>role</w:t>
      </w:r>
      <w:r w:rsidR="00266C65">
        <w:t xml:space="preserve"> of tin</w:t>
      </w:r>
      <w:r w:rsidR="006B5101">
        <w:t xml:space="preserve">, for example as solder - </w:t>
      </w:r>
      <w:r w:rsidR="002B522F" w:rsidRPr="00FD1B52">
        <w:t xml:space="preserve">the glue that holds together </w:t>
      </w:r>
      <w:r w:rsidR="006B5101">
        <w:t xml:space="preserve">all </w:t>
      </w:r>
      <w:r w:rsidR="002B522F" w:rsidRPr="00FD1B52">
        <w:t>electronic and electrical infrastructure</w:t>
      </w:r>
      <w:r w:rsidR="00266C65" w:rsidRPr="00FD1B52">
        <w:t>s</w:t>
      </w:r>
      <w:r w:rsidR="002B522F" w:rsidRPr="00FD1B52">
        <w:t>.</w:t>
      </w:r>
      <w:r w:rsidR="004A66A4" w:rsidRPr="00FD1B52">
        <w:t xml:space="preserve"> </w:t>
      </w:r>
    </w:p>
    <w:p w14:paraId="263E7D85" w14:textId="77777777" w:rsidR="00FD1B52" w:rsidRDefault="00FD1B52" w:rsidP="00FD1B52">
      <w:pPr>
        <w:spacing w:after="0" w:line="240" w:lineRule="auto"/>
      </w:pPr>
    </w:p>
    <w:p w14:paraId="0D56862D" w14:textId="2662568F" w:rsidR="00AB6F17" w:rsidRPr="004A66A4" w:rsidRDefault="00266C65" w:rsidP="00AB6F17">
      <w:pPr>
        <w:spacing w:after="0" w:line="240" w:lineRule="auto"/>
      </w:pPr>
      <w:r>
        <w:t>A</w:t>
      </w:r>
      <w:r w:rsidR="00F873F0">
        <w:t>s</w:t>
      </w:r>
      <w:r>
        <w:t xml:space="preserve"> the </w:t>
      </w:r>
      <w:r w:rsidR="00014198">
        <w:t xml:space="preserve">awareness of </w:t>
      </w:r>
      <w:r>
        <w:t>t</w:t>
      </w:r>
      <w:r w:rsidR="00014198">
        <w:t xml:space="preserve">in’s importance </w:t>
      </w:r>
      <w:r>
        <w:t xml:space="preserve">grows, so </w:t>
      </w:r>
      <w:r w:rsidR="00FD1B52">
        <w:t>too</w:t>
      </w:r>
      <w:r>
        <w:t xml:space="preserve"> will the </w:t>
      </w:r>
      <w:r w:rsidR="00AB6F17">
        <w:t xml:space="preserve">need to </w:t>
      </w:r>
      <w:r>
        <w:t>secure supply</w:t>
      </w:r>
      <w:r w:rsidRPr="00FD1B52">
        <w:t xml:space="preserve">. </w:t>
      </w:r>
      <w:r w:rsidR="004A66A4" w:rsidRPr="00FD1B52">
        <w:t>The</w:t>
      </w:r>
      <w:r w:rsidRPr="00FD1B52">
        <w:t xml:space="preserve"> organisation </w:t>
      </w:r>
      <w:r w:rsidR="004A66A4" w:rsidRPr="00FD1B52">
        <w:t xml:space="preserve">highlighted </w:t>
      </w:r>
      <w:r w:rsidR="00AB6F17">
        <w:t xml:space="preserve">the </w:t>
      </w:r>
      <w:r w:rsidR="00700F6D">
        <w:t>scale of</w:t>
      </w:r>
      <w:r w:rsidR="00AB6F17">
        <w:t xml:space="preserve"> </w:t>
      </w:r>
      <w:r w:rsidR="00700F6D">
        <w:t xml:space="preserve">new </w:t>
      </w:r>
      <w:r w:rsidR="004A66A4" w:rsidRPr="00FD1B52">
        <w:t xml:space="preserve">investment </w:t>
      </w:r>
      <w:r w:rsidR="00700F6D">
        <w:t xml:space="preserve">required </w:t>
      </w:r>
      <w:r w:rsidR="004A66A4" w:rsidRPr="00FD1B52">
        <w:t>to meet th</w:t>
      </w:r>
      <w:r w:rsidR="006B5101">
        <w:t>e</w:t>
      </w:r>
      <w:r w:rsidR="004A66A4" w:rsidRPr="00FD1B52">
        <w:t xml:space="preserve"> </w:t>
      </w:r>
      <w:r w:rsidR="00131B11">
        <w:t xml:space="preserve">expected </w:t>
      </w:r>
      <w:r w:rsidRPr="00FD1B52">
        <w:t xml:space="preserve">surge in </w:t>
      </w:r>
      <w:r w:rsidR="004A66A4" w:rsidRPr="00FD1B52">
        <w:t>demand</w:t>
      </w:r>
      <w:r w:rsidR="00AB6F17">
        <w:t xml:space="preserve">. </w:t>
      </w:r>
      <w:r w:rsidR="006B5101">
        <w:t xml:space="preserve">It estimates that $1.4 billion is needed to deliver 50,000 tpa more tin by 2030. This represents a huge </w:t>
      </w:r>
      <w:r w:rsidR="002E3CC8" w:rsidRPr="00FD1B52">
        <w:t>opportunity</w:t>
      </w:r>
      <w:r w:rsidR="004A66A4" w:rsidRPr="00FD1B52">
        <w:t xml:space="preserve"> for investors</w:t>
      </w:r>
      <w:r w:rsidR="006B5101">
        <w:t xml:space="preserve">, </w:t>
      </w:r>
      <w:r w:rsidR="00AB6F17">
        <w:t>allow</w:t>
      </w:r>
      <w:r w:rsidR="006B5101">
        <w:t>ing</w:t>
      </w:r>
      <w:r w:rsidR="00AB6F17">
        <w:t xml:space="preserve"> the t</w:t>
      </w:r>
      <w:r w:rsidR="00AB6F17" w:rsidRPr="004A66A4">
        <w:t xml:space="preserve">in sector </w:t>
      </w:r>
      <w:r w:rsidR="00AB6F17">
        <w:t xml:space="preserve">to build a </w:t>
      </w:r>
      <w:r w:rsidR="00AB6F17" w:rsidRPr="004A66A4">
        <w:t xml:space="preserve">better future for </w:t>
      </w:r>
      <w:r w:rsidR="00131B11">
        <w:t>all</w:t>
      </w:r>
      <w:r w:rsidR="00AB6F17">
        <w:t>.</w:t>
      </w:r>
    </w:p>
    <w:p w14:paraId="667091EF" w14:textId="4B6611F6" w:rsidR="002E3CC8" w:rsidRPr="00FD1B52" w:rsidRDefault="002E3CC8" w:rsidP="00FD1B52">
      <w:pPr>
        <w:spacing w:after="0" w:line="240" w:lineRule="auto"/>
        <w:rPr>
          <w:rFonts w:ascii="Calibri" w:eastAsia="Calibri" w:hAnsi="Calibri" w:cs="Calibri"/>
        </w:rPr>
      </w:pPr>
    </w:p>
    <w:p w14:paraId="5699D440" w14:textId="02F935BE" w:rsidR="002E3CC8" w:rsidRDefault="002E3CC8" w:rsidP="00AB6F17">
      <w:pPr>
        <w:spacing w:after="0" w:line="240" w:lineRule="auto"/>
        <w:rPr>
          <w:rFonts w:eastAsia="Times New Roman"/>
        </w:rPr>
      </w:pPr>
      <w:r w:rsidRPr="00AB6F17">
        <w:rPr>
          <w:rFonts w:ascii="Calibri" w:eastAsia="Calibri" w:hAnsi="Calibri" w:cs="Calibri"/>
        </w:rPr>
        <w:t>During the e</w:t>
      </w:r>
      <w:r w:rsidR="004F4E20">
        <w:rPr>
          <w:rFonts w:ascii="Calibri" w:eastAsia="Calibri" w:hAnsi="Calibri" w:cs="Calibri"/>
        </w:rPr>
        <w:t>vent</w:t>
      </w:r>
      <w:r w:rsidRPr="00AB6F17">
        <w:rPr>
          <w:rFonts w:ascii="Calibri" w:eastAsia="Calibri" w:hAnsi="Calibri" w:cs="Calibri"/>
        </w:rPr>
        <w:t xml:space="preserve"> the organi</w:t>
      </w:r>
      <w:r w:rsidR="00266C65" w:rsidRPr="00AB6F17">
        <w:rPr>
          <w:rFonts w:ascii="Calibri" w:eastAsia="Calibri" w:hAnsi="Calibri" w:cs="Calibri"/>
        </w:rPr>
        <w:t>s</w:t>
      </w:r>
      <w:r w:rsidRPr="00AB6F17">
        <w:rPr>
          <w:rFonts w:ascii="Calibri" w:eastAsia="Calibri" w:hAnsi="Calibri" w:cs="Calibri"/>
        </w:rPr>
        <w:t xml:space="preserve">ation </w:t>
      </w:r>
      <w:r w:rsidR="006B5101">
        <w:rPr>
          <w:rFonts w:ascii="Calibri" w:eastAsia="Calibri" w:hAnsi="Calibri" w:cs="Calibri"/>
        </w:rPr>
        <w:t xml:space="preserve">also </w:t>
      </w:r>
      <w:r w:rsidRPr="00AB6F17">
        <w:rPr>
          <w:rFonts w:ascii="Calibri" w:eastAsia="Calibri" w:hAnsi="Calibri" w:cs="Calibri"/>
        </w:rPr>
        <w:t xml:space="preserve">announced </w:t>
      </w:r>
      <w:r w:rsidR="00266C65" w:rsidRPr="00AB6F17">
        <w:rPr>
          <w:rFonts w:eastAsia="Times New Roman"/>
        </w:rPr>
        <w:t>its</w:t>
      </w:r>
      <w:r w:rsidRPr="00AB6F17">
        <w:rPr>
          <w:rFonts w:eastAsia="Times New Roman"/>
        </w:rPr>
        <w:t xml:space="preserve"> flagship Tin Code ESG reporting tool is being extended </w:t>
      </w:r>
      <w:r w:rsidR="00AD3959">
        <w:rPr>
          <w:rFonts w:eastAsia="Times New Roman"/>
        </w:rPr>
        <w:t xml:space="preserve">for voluntary participation by </w:t>
      </w:r>
      <w:r w:rsidRPr="00AB6F17">
        <w:rPr>
          <w:rFonts w:eastAsia="Times New Roman"/>
        </w:rPr>
        <w:t>ITA Explorers and Developers Group members. </w:t>
      </w:r>
      <w:r w:rsidR="006B5101">
        <w:rPr>
          <w:rFonts w:eastAsia="Times New Roman"/>
        </w:rPr>
        <w:t xml:space="preserve">ESG performance will be an essential step in securing investment in new supply. </w:t>
      </w:r>
      <w:r w:rsidRPr="00AB6F17">
        <w:rPr>
          <w:rFonts w:eastAsia="Times New Roman"/>
        </w:rPr>
        <w:t xml:space="preserve">The </w:t>
      </w:r>
      <w:r w:rsidR="006B5101">
        <w:rPr>
          <w:rFonts w:eastAsia="Times New Roman"/>
        </w:rPr>
        <w:t>C</w:t>
      </w:r>
      <w:r w:rsidRPr="00AB6F17">
        <w:rPr>
          <w:rFonts w:eastAsia="Times New Roman"/>
        </w:rPr>
        <w:t xml:space="preserve">ode allows its members to </w:t>
      </w:r>
      <w:r w:rsidR="00EA715E">
        <w:rPr>
          <w:rFonts w:eastAsia="Times New Roman"/>
        </w:rPr>
        <w:t xml:space="preserve">demonstrate their ESG commitment and </w:t>
      </w:r>
      <w:r w:rsidRPr="00AB6F17">
        <w:rPr>
          <w:rFonts w:eastAsia="Times New Roman"/>
        </w:rPr>
        <w:t>work towards positive improvement in their operations and the global tin industry.</w:t>
      </w:r>
    </w:p>
    <w:p w14:paraId="7DB76400" w14:textId="7F846043" w:rsidR="00AB6F17" w:rsidRDefault="00AB6F17" w:rsidP="00AB6F17">
      <w:pPr>
        <w:spacing w:after="0" w:line="240" w:lineRule="auto"/>
        <w:rPr>
          <w:rFonts w:eastAsia="Times New Roman"/>
        </w:rPr>
      </w:pPr>
    </w:p>
    <w:p w14:paraId="0616B4B8" w14:textId="511AA642" w:rsidR="002B522F" w:rsidRPr="007337AD" w:rsidRDefault="00AB6F17" w:rsidP="007337AD">
      <w:pPr>
        <w:spacing w:after="0" w:line="240" w:lineRule="auto"/>
        <w:rPr>
          <w:rFonts w:ascii="Calibri" w:eastAsia="Calibri" w:hAnsi="Calibri" w:cs="Calibri"/>
        </w:rPr>
      </w:pPr>
      <w:r>
        <w:rPr>
          <w:rFonts w:eastAsia="Times New Roman"/>
        </w:rPr>
        <w:t xml:space="preserve">The ITA looks forward to continuing to be the leading voice for </w:t>
      </w:r>
      <w:r w:rsidR="00B41766">
        <w:rPr>
          <w:rFonts w:eastAsia="Times New Roman"/>
        </w:rPr>
        <w:t xml:space="preserve">the sector </w:t>
      </w:r>
      <w:r>
        <w:rPr>
          <w:rFonts w:eastAsia="Times New Roman"/>
        </w:rPr>
        <w:t xml:space="preserve">and </w:t>
      </w:r>
      <w:r w:rsidR="007337AD">
        <w:rPr>
          <w:rFonts w:eastAsia="Times New Roman"/>
        </w:rPr>
        <w:t xml:space="preserve">supporting </w:t>
      </w:r>
      <w:r w:rsidR="00C54026">
        <w:rPr>
          <w:rFonts w:eastAsia="Times New Roman"/>
        </w:rPr>
        <w:t xml:space="preserve">its members </w:t>
      </w:r>
      <w:r w:rsidR="007337AD">
        <w:rPr>
          <w:rFonts w:eastAsia="Times New Roman"/>
        </w:rPr>
        <w:t xml:space="preserve">as the </w:t>
      </w:r>
      <w:r w:rsidR="00C54026">
        <w:rPr>
          <w:rFonts w:eastAsia="Times New Roman"/>
        </w:rPr>
        <w:t xml:space="preserve">tin </w:t>
      </w:r>
      <w:r w:rsidR="007337AD">
        <w:rPr>
          <w:rFonts w:eastAsia="Times New Roman"/>
        </w:rPr>
        <w:t>industry takes advantage of these</w:t>
      </w:r>
      <w:r w:rsidR="00700F6D">
        <w:rPr>
          <w:rFonts w:eastAsia="Times New Roman"/>
        </w:rPr>
        <w:t xml:space="preserve"> dramatic new market dynamics</w:t>
      </w:r>
      <w:r>
        <w:rPr>
          <w:rFonts w:eastAsia="Times New Roman"/>
        </w:rPr>
        <w:t xml:space="preserve">. </w:t>
      </w:r>
    </w:p>
    <w:p w14:paraId="6F0B2F18" w14:textId="1B1A8CC1" w:rsidR="00B62CC2" w:rsidRPr="004A66A4" w:rsidRDefault="00B62CC2" w:rsidP="0073478D">
      <w:pPr>
        <w:pStyle w:val="NormalWeb"/>
        <w:shd w:val="clear" w:color="auto" w:fill="FFFFFF"/>
        <w:spacing w:before="0" w:beforeAutospacing="0" w:after="0" w:afterAutospacing="0"/>
        <w:textAlignment w:val="baseline"/>
        <w:rPr>
          <w:rFonts w:ascii="Open Sans" w:hAnsi="Open Sans" w:cs="Open Sans"/>
          <w:color w:val="666666"/>
          <w:sz w:val="21"/>
          <w:szCs w:val="21"/>
        </w:rPr>
      </w:pPr>
    </w:p>
    <w:p w14:paraId="2782F114" w14:textId="22C24C4F" w:rsidR="00D032DE" w:rsidRPr="004A66A4" w:rsidRDefault="00D032DE" w:rsidP="0073478D">
      <w:pPr>
        <w:spacing w:after="0" w:line="240" w:lineRule="auto"/>
        <w:rPr>
          <w:b/>
          <w:bCs/>
          <w:sz w:val="24"/>
          <w:szCs w:val="24"/>
        </w:rPr>
      </w:pPr>
      <w:r w:rsidRPr="004A66A4">
        <w:rPr>
          <w:b/>
          <w:bCs/>
          <w:sz w:val="24"/>
          <w:szCs w:val="24"/>
        </w:rPr>
        <w:t>Notes to editors</w:t>
      </w:r>
    </w:p>
    <w:p w14:paraId="12F6364A" w14:textId="4B347127" w:rsidR="00D032DE" w:rsidRDefault="00D032DE" w:rsidP="0073478D">
      <w:pPr>
        <w:spacing w:after="0" w:line="240" w:lineRule="auto"/>
      </w:pPr>
    </w:p>
    <w:p w14:paraId="4C13C7EC" w14:textId="77777777" w:rsidR="00C54026" w:rsidRPr="000D2C5E" w:rsidRDefault="00C54026" w:rsidP="00C54026">
      <w:pPr>
        <w:spacing w:after="0" w:line="240" w:lineRule="auto"/>
        <w:rPr>
          <w:rFonts w:eastAsia="Times New Roman" w:cs="Arial"/>
          <w:b/>
          <w:lang w:eastAsia="en-GB"/>
        </w:rPr>
      </w:pPr>
      <w:r w:rsidRPr="000D2C5E">
        <w:rPr>
          <w:rFonts w:eastAsia="Times New Roman" w:cs="Arial"/>
          <w:b/>
          <w:lang w:eastAsia="en-GB"/>
        </w:rPr>
        <w:t>About International Tin Association:</w:t>
      </w:r>
    </w:p>
    <w:p w14:paraId="2DE97BE8" w14:textId="77777777" w:rsidR="00C54026" w:rsidRDefault="00C54026" w:rsidP="00C54026">
      <w:pPr>
        <w:spacing w:after="0" w:line="240" w:lineRule="auto"/>
        <w:rPr>
          <w:rFonts w:eastAsia="Times New Roman" w:cs="Arial"/>
          <w:lang w:eastAsia="en-GB"/>
        </w:rPr>
      </w:pPr>
      <w:r w:rsidRPr="000D2C5E">
        <w:rPr>
          <w:rFonts w:eastAsia="Times New Roman" w:cs="Arial"/>
          <w:lang w:eastAsia="en-GB"/>
        </w:rPr>
        <w:t xml:space="preserve">The International Tin Association is the world's foremost authority on tin with over </w:t>
      </w:r>
      <w:r>
        <w:rPr>
          <w:rFonts w:eastAsia="Times New Roman" w:cs="Arial"/>
          <w:lang w:eastAsia="en-GB"/>
        </w:rPr>
        <w:t>9</w:t>
      </w:r>
      <w:r w:rsidRPr="000D2C5E">
        <w:rPr>
          <w:rFonts w:eastAsia="Times New Roman" w:cs="Arial"/>
          <w:lang w:eastAsia="en-GB"/>
        </w:rPr>
        <w:t xml:space="preserve">0 years’ experience in tin related technologies. </w:t>
      </w:r>
    </w:p>
    <w:p w14:paraId="71433E95" w14:textId="77777777" w:rsidR="00C54026" w:rsidRDefault="00C54026" w:rsidP="00C54026">
      <w:pPr>
        <w:spacing w:after="0" w:line="240" w:lineRule="auto"/>
        <w:rPr>
          <w:rFonts w:eastAsia="Times New Roman" w:cs="Arial"/>
          <w:lang w:eastAsia="en-GB"/>
        </w:rPr>
      </w:pPr>
    </w:p>
    <w:p w14:paraId="3BC4C906" w14:textId="6386CED5" w:rsidR="00C54026" w:rsidRDefault="00C54026" w:rsidP="00C54026">
      <w:pPr>
        <w:spacing w:after="0" w:line="240" w:lineRule="auto"/>
        <w:rPr>
          <w:rFonts w:eastAsia="Times New Roman" w:cs="Arial"/>
          <w:lang w:eastAsia="en-GB"/>
        </w:rPr>
      </w:pPr>
      <w:r w:rsidRPr="00E84AC6">
        <w:rPr>
          <w:rFonts w:eastAsia="Times New Roman" w:cs="Arial"/>
          <w:lang w:eastAsia="en-GB"/>
        </w:rPr>
        <w:t xml:space="preserve">Representing more than two thirds of world tin production, ITA aims to bring leading companies together to give authority, </w:t>
      </w:r>
      <w:r w:rsidR="00131B11" w:rsidRPr="00E84AC6">
        <w:rPr>
          <w:rFonts w:eastAsia="Times New Roman" w:cs="Arial"/>
          <w:lang w:eastAsia="en-GB"/>
        </w:rPr>
        <w:t>leadership,</w:t>
      </w:r>
      <w:r w:rsidRPr="00E84AC6">
        <w:rPr>
          <w:rFonts w:eastAsia="Times New Roman" w:cs="Arial"/>
          <w:lang w:eastAsia="en-GB"/>
        </w:rPr>
        <w:t xml:space="preserve"> and voice to its members. Its expert analysis of tin markets and technologies enables the industry to confidently invest in expanding supply. At the same time </w:t>
      </w:r>
      <w:r w:rsidRPr="00E84AC6">
        <w:rPr>
          <w:rFonts w:eastAsia="Times New Roman" w:cs="Arial"/>
          <w:lang w:eastAsia="en-GB"/>
        </w:rPr>
        <w:lastRenderedPageBreak/>
        <w:t>sustainability has been at the forefront of the organisation’s vision for more than a decade, coordinating tin supply chain efforts to create and implement pioneering ESG operational and reporting standards.</w:t>
      </w:r>
    </w:p>
    <w:p w14:paraId="0760BE6E" w14:textId="77777777" w:rsidR="00C54026" w:rsidRDefault="00C54026" w:rsidP="00C54026">
      <w:pPr>
        <w:spacing w:after="0" w:line="240" w:lineRule="auto"/>
        <w:rPr>
          <w:rFonts w:eastAsia="Times New Roman" w:cs="Arial"/>
          <w:lang w:eastAsia="en-GB"/>
        </w:rPr>
      </w:pPr>
    </w:p>
    <w:p w14:paraId="2060936D" w14:textId="424E90FF" w:rsidR="00D032DE" w:rsidRPr="004A66A4" w:rsidRDefault="00B41766" w:rsidP="00D032DE">
      <w:pPr>
        <w:spacing w:after="0" w:line="240" w:lineRule="auto"/>
        <w:rPr>
          <w:b/>
          <w:bCs/>
        </w:rPr>
      </w:pPr>
      <w:r>
        <w:rPr>
          <w:b/>
          <w:bCs/>
        </w:rPr>
        <w:t xml:space="preserve">About </w:t>
      </w:r>
      <w:r w:rsidR="00D032DE" w:rsidRPr="004A66A4">
        <w:rPr>
          <w:b/>
          <w:bCs/>
        </w:rPr>
        <w:t>TIN2030</w:t>
      </w:r>
    </w:p>
    <w:p w14:paraId="4F32DB12" w14:textId="23265B84" w:rsidR="00B41766" w:rsidRDefault="00B41766" w:rsidP="00AB6F17">
      <w:pPr>
        <w:spacing w:after="0" w:line="240" w:lineRule="auto"/>
      </w:pPr>
      <w:r>
        <w:t xml:space="preserve">This project is aimed at setting out a vision for tin to 2030, including an ITA strategy that can continue to provide authority, </w:t>
      </w:r>
      <w:r w:rsidR="00131B11">
        <w:t>leadership,</w:t>
      </w:r>
      <w:r>
        <w:t xml:space="preserve"> and voice to the tin industry. It was developed by gathering inputs from various stakeholders including producers, traders, downstream companies, industry associations and sustainability experts. Combined with ITAs own understanding and research</w:t>
      </w:r>
      <w:r w:rsidR="00F873F0">
        <w:t xml:space="preserve"> the findings have been condensed </w:t>
      </w:r>
      <w:r>
        <w:t xml:space="preserve">into a </w:t>
      </w:r>
      <w:r w:rsidR="00F873F0">
        <w:t>TIN2030</w:t>
      </w:r>
      <w:r w:rsidR="00700F6D">
        <w:t xml:space="preserve"> report, to</w:t>
      </w:r>
      <w:r>
        <w:t xml:space="preserve"> be published early 2023. </w:t>
      </w:r>
    </w:p>
    <w:p w14:paraId="2E9FB7A1" w14:textId="405468AA" w:rsidR="00F169E0" w:rsidRPr="004A66A4" w:rsidRDefault="00F169E0" w:rsidP="00D032DE">
      <w:pPr>
        <w:spacing w:after="0" w:line="240" w:lineRule="auto"/>
        <w:rPr>
          <w:rFonts w:ascii="Calibri" w:eastAsia="Calibri" w:hAnsi="Calibri" w:cs="Calibri"/>
        </w:rPr>
      </w:pPr>
    </w:p>
    <w:p w14:paraId="13F3C84F" w14:textId="2FD6BBBC" w:rsidR="00F169E0" w:rsidRPr="00C54026" w:rsidRDefault="005E6883" w:rsidP="00F169E0">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About</w:t>
      </w:r>
      <w:r w:rsidR="00F169E0" w:rsidRPr="00C54026">
        <w:rPr>
          <w:rFonts w:asciiTheme="minorHAnsi" w:hAnsiTheme="minorHAnsi" w:cstheme="minorHAnsi"/>
          <w:b/>
          <w:bCs/>
          <w:sz w:val="22"/>
          <w:szCs w:val="22"/>
        </w:rPr>
        <w:t xml:space="preserve"> Investing in Tin Seminar</w:t>
      </w:r>
    </w:p>
    <w:p w14:paraId="01401F0C" w14:textId="72B01851" w:rsidR="00F169E0" w:rsidRDefault="00F169E0" w:rsidP="00F169E0">
      <w:pPr>
        <w:pStyle w:val="NormalWeb"/>
        <w:shd w:val="clear" w:color="auto" w:fill="FFFFFF"/>
        <w:spacing w:before="0" w:beforeAutospacing="0" w:after="0" w:afterAutospacing="0"/>
        <w:textAlignment w:val="baseline"/>
        <w:rPr>
          <w:rFonts w:asciiTheme="minorHAnsi" w:hAnsiTheme="minorHAnsi" w:cstheme="minorHAnsi"/>
          <w:sz w:val="22"/>
          <w:szCs w:val="22"/>
        </w:rPr>
      </w:pPr>
      <w:bookmarkStart w:id="4" w:name="_Hlk120701486"/>
      <w:r w:rsidRPr="00C54026">
        <w:rPr>
          <w:rFonts w:asciiTheme="minorHAnsi" w:hAnsiTheme="minorHAnsi" w:cstheme="minorHAnsi"/>
          <w:sz w:val="22"/>
          <w:szCs w:val="22"/>
        </w:rPr>
        <w:t xml:space="preserve">The International Tin Association’s Investing in Tin Seminar, now in its 11th year, </w:t>
      </w:r>
      <w:r w:rsidRPr="00C54026">
        <w:rPr>
          <w:rFonts w:asciiTheme="minorHAnsi" w:hAnsiTheme="minorHAnsi" w:cstheme="minorHAnsi"/>
          <w:sz w:val="22"/>
          <w:szCs w:val="22"/>
          <w:shd w:val="clear" w:color="auto" w:fill="FFFFFF"/>
        </w:rPr>
        <w:t xml:space="preserve">provides a unique platform for </w:t>
      </w:r>
      <w:r w:rsidRPr="00C54026">
        <w:rPr>
          <w:rFonts w:asciiTheme="minorHAnsi" w:hAnsiTheme="minorHAnsi" w:cstheme="minorHAnsi"/>
          <w:sz w:val="22"/>
          <w:szCs w:val="22"/>
        </w:rPr>
        <w:t xml:space="preserve">investors, junior mining companies, and analysts from the tin world to come together and engage, </w:t>
      </w:r>
      <w:r w:rsidR="00131B11" w:rsidRPr="00C54026">
        <w:rPr>
          <w:rFonts w:asciiTheme="minorHAnsi" w:hAnsiTheme="minorHAnsi" w:cstheme="minorHAnsi"/>
          <w:sz w:val="22"/>
          <w:szCs w:val="22"/>
        </w:rPr>
        <w:t>network,</w:t>
      </w:r>
      <w:r w:rsidRPr="00C54026">
        <w:rPr>
          <w:rFonts w:asciiTheme="minorHAnsi" w:hAnsiTheme="minorHAnsi" w:cstheme="minorHAnsi"/>
          <w:sz w:val="22"/>
          <w:szCs w:val="22"/>
        </w:rPr>
        <w:t xml:space="preserve"> and hear the latest vision and opportunities for tin</w:t>
      </w:r>
      <w:bookmarkEnd w:id="4"/>
      <w:r w:rsidRPr="00C54026">
        <w:rPr>
          <w:rFonts w:asciiTheme="minorHAnsi" w:hAnsiTheme="minorHAnsi" w:cstheme="minorHAnsi"/>
          <w:sz w:val="22"/>
          <w:szCs w:val="22"/>
        </w:rPr>
        <w:t xml:space="preserve">. </w:t>
      </w:r>
      <w:hyperlink r:id="rId9" w:history="1">
        <w:r w:rsidR="00700F6D" w:rsidRPr="00C06544">
          <w:rPr>
            <w:rStyle w:val="Hyperlink"/>
            <w:rFonts w:asciiTheme="minorHAnsi" w:hAnsiTheme="minorHAnsi" w:cstheme="minorHAnsi"/>
            <w:sz w:val="22"/>
            <w:szCs w:val="22"/>
          </w:rPr>
          <w:t>https://www.internationaltin.org/investing-in-tin-seminar/</w:t>
        </w:r>
      </w:hyperlink>
      <w:r w:rsidR="00700F6D">
        <w:rPr>
          <w:rFonts w:asciiTheme="minorHAnsi" w:hAnsiTheme="minorHAnsi" w:cstheme="minorHAnsi"/>
          <w:sz w:val="22"/>
          <w:szCs w:val="22"/>
        </w:rPr>
        <w:t xml:space="preserve"> </w:t>
      </w:r>
    </w:p>
    <w:p w14:paraId="04E1FC4D" w14:textId="6C98C360" w:rsidR="00B41766" w:rsidRDefault="00B41766" w:rsidP="00F169E0">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3B8C3CED" w14:textId="21DA323B" w:rsidR="00B41766" w:rsidRPr="00B41766" w:rsidRDefault="00B41766" w:rsidP="00F169E0">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B41766">
        <w:rPr>
          <w:rFonts w:asciiTheme="minorHAnsi" w:hAnsiTheme="minorHAnsi" w:cstheme="minorHAnsi"/>
          <w:b/>
          <w:bCs/>
          <w:sz w:val="22"/>
          <w:szCs w:val="22"/>
        </w:rPr>
        <w:t xml:space="preserve">About the Tin Code </w:t>
      </w:r>
    </w:p>
    <w:p w14:paraId="217B2978" w14:textId="071637DD" w:rsidR="00B41766" w:rsidRPr="00B41766" w:rsidRDefault="00B41766" w:rsidP="005E688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B41766">
        <w:rPr>
          <w:rFonts w:asciiTheme="minorHAnsi" w:hAnsiTheme="minorHAnsi" w:cstheme="minorHAnsi"/>
          <w:sz w:val="22"/>
          <w:szCs w:val="22"/>
          <w:shd w:val="clear" w:color="auto" w:fill="FFFFFF"/>
        </w:rPr>
        <w:t>The Tin Code is specifically designed for </w:t>
      </w:r>
      <w:hyperlink r:id="rId10" w:tgtFrame="_blank" w:history="1">
        <w:r w:rsidRPr="00B41766">
          <w:rPr>
            <w:rStyle w:val="Hyperlink"/>
            <w:rFonts w:asciiTheme="minorHAnsi" w:hAnsiTheme="minorHAnsi" w:cstheme="minorHAnsi"/>
            <w:color w:val="auto"/>
            <w:sz w:val="22"/>
            <w:szCs w:val="22"/>
            <w:u w:val="none"/>
            <w:bdr w:val="none" w:sz="0" w:space="0" w:color="auto" w:frame="1"/>
            <w:shd w:val="clear" w:color="auto" w:fill="FFFFFF"/>
          </w:rPr>
          <w:t>tin mining, smelting and recycling operations</w:t>
        </w:r>
      </w:hyperlink>
      <w:r w:rsidRPr="00B41766">
        <w:rPr>
          <w:rFonts w:asciiTheme="minorHAnsi" w:hAnsiTheme="minorHAnsi" w:cstheme="minorHAnsi"/>
          <w:sz w:val="22"/>
          <w:szCs w:val="22"/>
          <w:shd w:val="clear" w:color="auto" w:fill="FFFFFF"/>
        </w:rPr>
        <w:t xml:space="preserve"> globally and takes into account the expectations of influential and important tin consumers. </w:t>
      </w:r>
      <w:proofErr w:type="gramStart"/>
      <w:r w:rsidRPr="00B41766">
        <w:rPr>
          <w:rFonts w:asciiTheme="minorHAnsi" w:hAnsiTheme="minorHAnsi" w:cstheme="minorHAnsi"/>
          <w:sz w:val="22"/>
          <w:szCs w:val="22"/>
          <w:shd w:val="clear" w:color="auto" w:fill="FFFFFF"/>
        </w:rPr>
        <w:t>In order to</w:t>
      </w:r>
      <w:proofErr w:type="gramEnd"/>
      <w:r w:rsidRPr="00B41766">
        <w:rPr>
          <w:rFonts w:asciiTheme="minorHAnsi" w:hAnsiTheme="minorHAnsi" w:cstheme="minorHAnsi"/>
          <w:sz w:val="22"/>
          <w:szCs w:val="22"/>
          <w:shd w:val="clear" w:color="auto" w:fill="FFFFFF"/>
        </w:rPr>
        <w:t xml:space="preserve"> harmonise information requests from external parties, minimise costs, and ensure comparable reporting and evaluation, all International Tin Association members have committed to adopt the Tin Code and its reporting requirements.</w:t>
      </w:r>
      <w:r>
        <w:rPr>
          <w:rFonts w:asciiTheme="minorHAnsi" w:hAnsiTheme="minorHAnsi" w:cstheme="minorHAnsi"/>
          <w:sz w:val="22"/>
          <w:szCs w:val="22"/>
          <w:shd w:val="clear" w:color="auto" w:fill="FFFFFF"/>
        </w:rPr>
        <w:t xml:space="preserve"> To find out more </w:t>
      </w:r>
      <w:hyperlink r:id="rId11" w:history="1">
        <w:r w:rsidR="005E6883" w:rsidRPr="005E6883">
          <w:rPr>
            <w:rStyle w:val="Hyperlink"/>
            <w:rFonts w:asciiTheme="minorHAnsi" w:hAnsiTheme="minorHAnsi" w:cstheme="minorHAnsi"/>
            <w:sz w:val="22"/>
            <w:szCs w:val="22"/>
            <w:shd w:val="clear" w:color="auto" w:fill="FFFFFF"/>
          </w:rPr>
          <w:t>click here</w:t>
        </w:r>
      </w:hyperlink>
      <w:r w:rsidR="005E6883">
        <w:rPr>
          <w:rFonts w:asciiTheme="minorHAnsi" w:hAnsiTheme="minorHAnsi" w:cstheme="minorHAnsi"/>
          <w:sz w:val="22"/>
          <w:szCs w:val="22"/>
          <w:shd w:val="clear" w:color="auto" w:fill="FFFFFF"/>
        </w:rPr>
        <w:t xml:space="preserve">. For more information on how to </w:t>
      </w:r>
      <w:r w:rsidRPr="00B41766">
        <w:rPr>
          <w:rFonts w:asciiTheme="minorHAnsi" w:hAnsiTheme="minorHAnsi" w:cstheme="minorHAnsi"/>
          <w:sz w:val="22"/>
          <w:szCs w:val="22"/>
        </w:rPr>
        <w:t>participate in the global standard, please contact</w:t>
      </w:r>
      <w:r w:rsidRPr="00B41766">
        <w:rPr>
          <w:rStyle w:val="contentpasted01"/>
          <w:rFonts w:asciiTheme="minorHAnsi" w:hAnsiTheme="minorHAnsi" w:cstheme="minorHAnsi"/>
          <w:sz w:val="22"/>
          <w:szCs w:val="22"/>
        </w:rPr>
        <w:t> </w:t>
      </w:r>
      <w:hyperlink r:id="rId12" w:tgtFrame="_blank" w:history="1">
        <w:r w:rsidRPr="00B41766">
          <w:rPr>
            <w:rStyle w:val="Hyperlink"/>
            <w:rFonts w:asciiTheme="minorHAnsi" w:hAnsiTheme="minorHAnsi" w:cstheme="minorHAnsi"/>
            <w:color w:val="auto"/>
            <w:sz w:val="22"/>
            <w:szCs w:val="22"/>
          </w:rPr>
          <w:t>tincode@internationaltin.org</w:t>
        </w:r>
      </w:hyperlink>
      <w:r w:rsidRPr="00B41766">
        <w:rPr>
          <w:rFonts w:asciiTheme="minorHAnsi" w:hAnsiTheme="minorHAnsi" w:cstheme="minorHAnsi"/>
          <w:sz w:val="22"/>
          <w:szCs w:val="22"/>
        </w:rPr>
        <w:t> </w:t>
      </w:r>
    </w:p>
    <w:p w14:paraId="46713711" w14:textId="77777777" w:rsidR="005E6883" w:rsidRDefault="005E6883" w:rsidP="00C54026">
      <w:pPr>
        <w:spacing w:after="0" w:line="360" w:lineRule="auto"/>
        <w:rPr>
          <w:rFonts w:eastAsia="Times New Roman" w:cs="Arial"/>
          <w:bCs/>
          <w:lang w:eastAsia="en-GB"/>
        </w:rPr>
      </w:pPr>
    </w:p>
    <w:p w14:paraId="522ED829" w14:textId="7A69C32B" w:rsidR="00C54026" w:rsidRPr="005E6883" w:rsidRDefault="00C54026" w:rsidP="00C54026">
      <w:pPr>
        <w:spacing w:after="0" w:line="360" w:lineRule="auto"/>
        <w:rPr>
          <w:rFonts w:eastAsia="Times New Roman" w:cs="Arial"/>
          <w:b/>
          <w:lang w:eastAsia="en-GB"/>
        </w:rPr>
      </w:pPr>
      <w:r w:rsidRPr="005E6883">
        <w:rPr>
          <w:rFonts w:eastAsia="Times New Roman" w:cs="Arial"/>
          <w:b/>
          <w:lang w:eastAsia="en-GB"/>
        </w:rPr>
        <w:t>For further enquiries please contact:</w:t>
      </w:r>
    </w:p>
    <w:p w14:paraId="6A2788CA" w14:textId="77777777" w:rsidR="00C54026" w:rsidRPr="005E6883" w:rsidRDefault="00C54026" w:rsidP="00C54026">
      <w:pPr>
        <w:spacing w:after="0" w:line="240" w:lineRule="auto"/>
        <w:rPr>
          <w:rFonts w:eastAsia="Times New Roman" w:cs="Arial"/>
          <w:b/>
          <w:lang w:eastAsia="en-GB"/>
        </w:rPr>
      </w:pPr>
    </w:p>
    <w:tbl>
      <w:tblPr>
        <w:tblpPr w:leftFromText="180" w:rightFromText="180" w:vertAnchor="text" w:horzAnchor="margin" w:tblpY="-58"/>
        <w:tblW w:w="0" w:type="auto"/>
        <w:tblLook w:val="04A0" w:firstRow="1" w:lastRow="0" w:firstColumn="1" w:lastColumn="0" w:noHBand="0" w:noVBand="1"/>
      </w:tblPr>
      <w:tblGrid>
        <w:gridCol w:w="4576"/>
        <w:gridCol w:w="4450"/>
      </w:tblGrid>
      <w:tr w:rsidR="00C54026" w:rsidRPr="005649E6" w14:paraId="6092B94B" w14:textId="77777777" w:rsidTr="00C3656A">
        <w:tc>
          <w:tcPr>
            <w:tcW w:w="4621" w:type="dxa"/>
            <w:shd w:val="clear" w:color="auto" w:fill="auto"/>
          </w:tcPr>
          <w:p w14:paraId="09B79CCE" w14:textId="77777777" w:rsidR="00C54026" w:rsidRPr="005649E6" w:rsidRDefault="00C54026" w:rsidP="00C3656A">
            <w:pPr>
              <w:spacing w:after="0" w:line="240" w:lineRule="auto"/>
              <w:rPr>
                <w:rFonts w:eastAsia="Times New Roman" w:cs="Arial"/>
                <w:lang w:eastAsia="en-GB"/>
              </w:rPr>
            </w:pPr>
            <w:r w:rsidRPr="005649E6">
              <w:rPr>
                <w:rFonts w:eastAsia="Times New Roman" w:cs="Arial"/>
                <w:lang w:eastAsia="en-GB"/>
              </w:rPr>
              <w:t>Dr Jeremy Pearce</w:t>
            </w:r>
          </w:p>
          <w:p w14:paraId="64074222" w14:textId="77777777" w:rsidR="00C54026" w:rsidRPr="005649E6" w:rsidRDefault="00C54026" w:rsidP="00C3656A">
            <w:pPr>
              <w:spacing w:after="0" w:line="240" w:lineRule="auto"/>
              <w:rPr>
                <w:rFonts w:eastAsia="Times New Roman" w:cs="Arial"/>
                <w:lang w:eastAsia="en-GB"/>
              </w:rPr>
            </w:pPr>
            <w:r>
              <w:rPr>
                <w:rFonts w:eastAsia="Times New Roman" w:cs="Arial"/>
                <w:lang w:eastAsia="en-GB"/>
              </w:rPr>
              <w:t>Market Intelligence</w:t>
            </w:r>
            <w:r w:rsidRPr="005649E6">
              <w:rPr>
                <w:rFonts w:eastAsia="Times New Roman" w:cs="Arial"/>
                <w:lang w:eastAsia="en-GB"/>
              </w:rPr>
              <w:t xml:space="preserve"> &amp; Communications</w:t>
            </w:r>
          </w:p>
          <w:p w14:paraId="0580EE25" w14:textId="77777777" w:rsidR="00C54026" w:rsidRDefault="00C54026" w:rsidP="00C3656A">
            <w:pPr>
              <w:spacing w:after="0" w:line="240" w:lineRule="auto"/>
              <w:rPr>
                <w:rFonts w:eastAsia="Times New Roman" w:cs="Arial"/>
                <w:lang w:eastAsia="en-GB"/>
              </w:rPr>
            </w:pPr>
            <w:r w:rsidRPr="005649E6">
              <w:rPr>
                <w:rFonts w:eastAsia="Times New Roman" w:cs="Arial"/>
                <w:lang w:eastAsia="en-GB"/>
              </w:rPr>
              <w:t>Tel: +44 (0) 1727 871311</w:t>
            </w:r>
          </w:p>
          <w:p w14:paraId="3E3CA21C" w14:textId="77777777" w:rsidR="00C54026" w:rsidRPr="005649E6" w:rsidRDefault="00C54026" w:rsidP="00C3656A">
            <w:pPr>
              <w:spacing w:after="0" w:line="240" w:lineRule="auto"/>
              <w:rPr>
                <w:rFonts w:eastAsia="Times New Roman" w:cs="Arial"/>
                <w:lang w:eastAsia="en-GB"/>
              </w:rPr>
            </w:pPr>
            <w:r>
              <w:rPr>
                <w:rFonts w:eastAsia="Times New Roman" w:cs="Arial"/>
                <w:lang w:eastAsia="en-GB"/>
              </w:rPr>
              <w:t>Mob: +44 (0)79 09890630</w:t>
            </w:r>
          </w:p>
          <w:p w14:paraId="3723ED81" w14:textId="77777777" w:rsidR="00C54026" w:rsidRPr="005649E6" w:rsidRDefault="00C54026" w:rsidP="00C3656A">
            <w:pPr>
              <w:spacing w:after="0" w:line="240" w:lineRule="auto"/>
              <w:rPr>
                <w:rFonts w:eastAsia="Times New Roman" w:cs="Arial"/>
                <w:lang w:eastAsia="en-GB"/>
              </w:rPr>
            </w:pPr>
            <w:r w:rsidRPr="005649E6">
              <w:rPr>
                <w:rFonts w:eastAsia="Times New Roman" w:cs="Arial"/>
                <w:lang w:eastAsia="en-GB"/>
              </w:rPr>
              <w:t xml:space="preserve">Email: </w:t>
            </w:r>
            <w:hyperlink r:id="rId13" w:history="1">
              <w:r w:rsidRPr="00780C80">
                <w:rPr>
                  <w:rStyle w:val="Hyperlink"/>
                  <w:rFonts w:eastAsia="Times New Roman" w:cs="Arial"/>
                  <w:lang w:eastAsia="en-GB"/>
                </w:rPr>
                <w:t>jeremy.pearce@internationaltin.org</w:t>
              </w:r>
            </w:hyperlink>
          </w:p>
        </w:tc>
        <w:tc>
          <w:tcPr>
            <w:tcW w:w="4621" w:type="dxa"/>
            <w:shd w:val="clear" w:color="auto" w:fill="auto"/>
          </w:tcPr>
          <w:p w14:paraId="785B45D3" w14:textId="77777777" w:rsidR="00C54026" w:rsidRPr="005649E6" w:rsidRDefault="00C54026" w:rsidP="00C3656A">
            <w:pPr>
              <w:spacing w:after="0" w:line="240" w:lineRule="auto"/>
              <w:rPr>
                <w:rFonts w:eastAsia="Times New Roman" w:cs="Arial"/>
                <w:lang w:eastAsia="en-GB"/>
              </w:rPr>
            </w:pPr>
          </w:p>
        </w:tc>
      </w:tr>
    </w:tbl>
    <w:p w14:paraId="4B7E9534" w14:textId="77777777" w:rsidR="00C54026" w:rsidRPr="00C54026" w:rsidRDefault="00C54026" w:rsidP="00F169E0">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47069068" w14:textId="61DEBCC5" w:rsidR="00AB6F17" w:rsidRDefault="00AB6F17" w:rsidP="00F169E0">
      <w:pPr>
        <w:pStyle w:val="NormalWeb"/>
        <w:shd w:val="clear" w:color="auto" w:fill="FFFFFF"/>
        <w:spacing w:before="0" w:beforeAutospacing="0" w:after="0" w:afterAutospacing="0"/>
        <w:textAlignment w:val="baseline"/>
        <w:rPr>
          <w:rFonts w:ascii="Open Sans" w:hAnsi="Open Sans" w:cs="Open Sans"/>
          <w:color w:val="666666"/>
          <w:sz w:val="21"/>
          <w:szCs w:val="21"/>
        </w:rPr>
      </w:pPr>
    </w:p>
    <w:p w14:paraId="38FCCD59" w14:textId="77777777" w:rsidR="00AB6F17" w:rsidRPr="004A66A4" w:rsidRDefault="00AB6F17" w:rsidP="00F169E0">
      <w:pPr>
        <w:pStyle w:val="NormalWeb"/>
        <w:shd w:val="clear" w:color="auto" w:fill="FFFFFF"/>
        <w:spacing w:before="0" w:beforeAutospacing="0" w:after="0" w:afterAutospacing="0"/>
        <w:textAlignment w:val="baseline"/>
        <w:rPr>
          <w:rFonts w:ascii="Calibri" w:hAnsi="Calibri" w:cs="Calibri"/>
          <w:shd w:val="clear" w:color="auto" w:fill="FFFFFF"/>
        </w:rPr>
      </w:pPr>
    </w:p>
    <w:sectPr w:rsidR="00AB6F17" w:rsidRPr="004A66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0E65"/>
    <w:multiLevelType w:val="hybridMultilevel"/>
    <w:tmpl w:val="C1F4660C"/>
    <w:lvl w:ilvl="0" w:tplc="F374505E">
      <w:start w:val="1"/>
      <w:numFmt w:val="bullet"/>
      <w:lvlText w:val=""/>
      <w:lvlJc w:val="left"/>
      <w:pPr>
        <w:ind w:left="360" w:hanging="360"/>
      </w:pPr>
      <w:rPr>
        <w:rFonts w:ascii="Wingdings" w:hAnsi="Wingdings" w:hint="default"/>
        <w:color w:val="920000"/>
        <w:sz w:val="20"/>
      </w:rPr>
    </w:lvl>
    <w:lvl w:ilvl="1" w:tplc="FFFFFFFF">
      <w:start w:val="1"/>
      <w:numFmt w:val="bullet"/>
      <w:lvlText w:val=""/>
      <w:lvlJc w:val="left"/>
      <w:pPr>
        <w:ind w:left="360" w:hanging="360"/>
      </w:pPr>
      <w:rPr>
        <w:rFonts w:ascii="Wingdings" w:hAnsi="Wingdings" w:hint="default"/>
        <w:color w:val="920000"/>
        <w:sz w:val="2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8263065"/>
    <w:multiLevelType w:val="multilevel"/>
    <w:tmpl w:val="A5D0A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F56AAF"/>
    <w:multiLevelType w:val="hybridMultilevel"/>
    <w:tmpl w:val="F3CA471E"/>
    <w:lvl w:ilvl="0" w:tplc="2000000F">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7F3D1700"/>
    <w:multiLevelType w:val="hybridMultilevel"/>
    <w:tmpl w:val="7668EAEA"/>
    <w:lvl w:ilvl="0" w:tplc="FFFFFFFF">
      <w:start w:val="1"/>
      <w:numFmt w:val="decimal"/>
      <w:lvlText w:val="%1."/>
      <w:lvlJc w:val="left"/>
      <w:pPr>
        <w:ind w:left="360" w:hanging="360"/>
      </w:pPr>
      <w:rPr>
        <w:rFonts w:hint="default"/>
      </w:rPr>
    </w:lvl>
    <w:lvl w:ilvl="1" w:tplc="F374505E">
      <w:start w:val="1"/>
      <w:numFmt w:val="bullet"/>
      <w:lvlText w:val=""/>
      <w:lvlJc w:val="left"/>
      <w:pPr>
        <w:ind w:left="360" w:hanging="360"/>
      </w:pPr>
      <w:rPr>
        <w:rFonts w:ascii="Wingdings" w:hAnsi="Wingdings" w:hint="default"/>
        <w:color w:val="920000"/>
        <w:sz w:val="2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48015328">
    <w:abstractNumId w:val="0"/>
  </w:num>
  <w:num w:numId="2" w16cid:durableId="2146502091">
    <w:abstractNumId w:val="2"/>
  </w:num>
  <w:num w:numId="3" w16cid:durableId="1031342670">
    <w:abstractNumId w:val="3"/>
  </w:num>
  <w:num w:numId="4" w16cid:durableId="864712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69"/>
    <w:rsid w:val="00014198"/>
    <w:rsid w:val="00065A7A"/>
    <w:rsid w:val="000B3C40"/>
    <w:rsid w:val="00131B11"/>
    <w:rsid w:val="0013397A"/>
    <w:rsid w:val="00151ED4"/>
    <w:rsid w:val="00174570"/>
    <w:rsid w:val="00224DD3"/>
    <w:rsid w:val="00266C65"/>
    <w:rsid w:val="00277B1B"/>
    <w:rsid w:val="002A4D74"/>
    <w:rsid w:val="002B522F"/>
    <w:rsid w:val="002E3CC8"/>
    <w:rsid w:val="00315769"/>
    <w:rsid w:val="00447638"/>
    <w:rsid w:val="004A66A4"/>
    <w:rsid w:val="004D5DE9"/>
    <w:rsid w:val="004F4E20"/>
    <w:rsid w:val="0054104E"/>
    <w:rsid w:val="005B5357"/>
    <w:rsid w:val="005E58C3"/>
    <w:rsid w:val="005E6883"/>
    <w:rsid w:val="00664D25"/>
    <w:rsid w:val="006B5101"/>
    <w:rsid w:val="00700F6D"/>
    <w:rsid w:val="007337AD"/>
    <w:rsid w:val="0073478D"/>
    <w:rsid w:val="0077575D"/>
    <w:rsid w:val="00791325"/>
    <w:rsid w:val="007F3727"/>
    <w:rsid w:val="00826186"/>
    <w:rsid w:val="00827E62"/>
    <w:rsid w:val="008459D9"/>
    <w:rsid w:val="00890C58"/>
    <w:rsid w:val="0092475A"/>
    <w:rsid w:val="00956DE7"/>
    <w:rsid w:val="009738D7"/>
    <w:rsid w:val="00A0752E"/>
    <w:rsid w:val="00AB6F17"/>
    <w:rsid w:val="00AD3959"/>
    <w:rsid w:val="00B20FC3"/>
    <w:rsid w:val="00B41766"/>
    <w:rsid w:val="00B62CC2"/>
    <w:rsid w:val="00C159CC"/>
    <w:rsid w:val="00C54026"/>
    <w:rsid w:val="00C7676D"/>
    <w:rsid w:val="00C77DCF"/>
    <w:rsid w:val="00C96E2B"/>
    <w:rsid w:val="00CC2D4A"/>
    <w:rsid w:val="00D032DE"/>
    <w:rsid w:val="00D05F56"/>
    <w:rsid w:val="00D17DB3"/>
    <w:rsid w:val="00D536D4"/>
    <w:rsid w:val="00D53EEF"/>
    <w:rsid w:val="00DC4609"/>
    <w:rsid w:val="00EA715E"/>
    <w:rsid w:val="00EE547D"/>
    <w:rsid w:val="00F07F0D"/>
    <w:rsid w:val="00F169E0"/>
    <w:rsid w:val="00F6376B"/>
    <w:rsid w:val="00F873F0"/>
    <w:rsid w:val="00FB092A"/>
    <w:rsid w:val="00FD1B52"/>
    <w:rsid w:val="00FF4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AA4F"/>
  <w15:chartTrackingRefBased/>
  <w15:docId w15:val="{98ECA4E8-5250-49DD-AFF2-33C6E397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C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32DE"/>
    <w:pPr>
      <w:spacing w:after="200" w:line="276" w:lineRule="auto"/>
      <w:ind w:left="720"/>
      <w:contextualSpacing/>
    </w:pPr>
    <w:rPr>
      <w:rFonts w:eastAsiaTheme="minorEastAsia"/>
      <w:lang w:val="en-US" w:eastAsia="zh-CN"/>
    </w:rPr>
  </w:style>
  <w:style w:type="character" w:styleId="Hyperlink">
    <w:name w:val="Hyperlink"/>
    <w:uiPriority w:val="99"/>
    <w:unhideWhenUsed/>
    <w:rsid w:val="00C54026"/>
    <w:rPr>
      <w:color w:val="0000FF"/>
      <w:u w:val="single"/>
    </w:rPr>
  </w:style>
  <w:style w:type="paragraph" w:customStyle="1" w:styleId="contentpasted0">
    <w:name w:val="contentpasted0"/>
    <w:basedOn w:val="Normal"/>
    <w:rsid w:val="00B41766"/>
    <w:pPr>
      <w:spacing w:after="0" w:line="240" w:lineRule="auto"/>
    </w:pPr>
    <w:rPr>
      <w:rFonts w:ascii="Calibri" w:hAnsi="Calibri" w:cs="Calibri"/>
    </w:rPr>
  </w:style>
  <w:style w:type="character" w:customStyle="1" w:styleId="contentpasted01">
    <w:name w:val="contentpasted01"/>
    <w:basedOn w:val="DefaultParagraphFont"/>
    <w:rsid w:val="00B41766"/>
  </w:style>
  <w:style w:type="character" w:styleId="UnresolvedMention">
    <w:name w:val="Unresolved Mention"/>
    <w:basedOn w:val="DefaultParagraphFont"/>
    <w:uiPriority w:val="99"/>
    <w:semiHidden/>
    <w:unhideWhenUsed/>
    <w:rsid w:val="005E6883"/>
    <w:rPr>
      <w:color w:val="605E5C"/>
      <w:shd w:val="clear" w:color="auto" w:fill="E1DFDD"/>
    </w:rPr>
  </w:style>
  <w:style w:type="paragraph" w:styleId="Revision">
    <w:name w:val="Revision"/>
    <w:hidden/>
    <w:uiPriority w:val="99"/>
    <w:semiHidden/>
    <w:rsid w:val="00C96E2B"/>
    <w:pPr>
      <w:spacing w:after="0" w:line="240" w:lineRule="auto"/>
    </w:pPr>
  </w:style>
  <w:style w:type="character" w:styleId="CommentReference">
    <w:name w:val="annotation reference"/>
    <w:basedOn w:val="DefaultParagraphFont"/>
    <w:uiPriority w:val="99"/>
    <w:semiHidden/>
    <w:unhideWhenUsed/>
    <w:rsid w:val="00C96E2B"/>
    <w:rPr>
      <w:sz w:val="16"/>
      <w:szCs w:val="16"/>
    </w:rPr>
  </w:style>
  <w:style w:type="paragraph" w:styleId="CommentText">
    <w:name w:val="annotation text"/>
    <w:basedOn w:val="Normal"/>
    <w:link w:val="CommentTextChar"/>
    <w:uiPriority w:val="99"/>
    <w:unhideWhenUsed/>
    <w:rsid w:val="00C96E2B"/>
    <w:pPr>
      <w:spacing w:line="240" w:lineRule="auto"/>
    </w:pPr>
    <w:rPr>
      <w:sz w:val="20"/>
      <w:szCs w:val="20"/>
    </w:rPr>
  </w:style>
  <w:style w:type="character" w:customStyle="1" w:styleId="CommentTextChar">
    <w:name w:val="Comment Text Char"/>
    <w:basedOn w:val="DefaultParagraphFont"/>
    <w:link w:val="CommentText"/>
    <w:uiPriority w:val="99"/>
    <w:rsid w:val="00C96E2B"/>
    <w:rPr>
      <w:sz w:val="20"/>
      <w:szCs w:val="20"/>
    </w:rPr>
  </w:style>
  <w:style w:type="paragraph" w:styleId="CommentSubject">
    <w:name w:val="annotation subject"/>
    <w:basedOn w:val="CommentText"/>
    <w:next w:val="CommentText"/>
    <w:link w:val="CommentSubjectChar"/>
    <w:uiPriority w:val="99"/>
    <w:semiHidden/>
    <w:unhideWhenUsed/>
    <w:rsid w:val="00C96E2B"/>
    <w:rPr>
      <w:b/>
      <w:bCs/>
    </w:rPr>
  </w:style>
  <w:style w:type="character" w:customStyle="1" w:styleId="CommentSubjectChar">
    <w:name w:val="Comment Subject Char"/>
    <w:basedOn w:val="CommentTextChar"/>
    <w:link w:val="CommentSubject"/>
    <w:uiPriority w:val="99"/>
    <w:semiHidden/>
    <w:rsid w:val="00C96E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81137">
      <w:bodyDiv w:val="1"/>
      <w:marLeft w:val="0"/>
      <w:marRight w:val="0"/>
      <w:marTop w:val="0"/>
      <w:marBottom w:val="0"/>
      <w:divBdr>
        <w:top w:val="none" w:sz="0" w:space="0" w:color="auto"/>
        <w:left w:val="none" w:sz="0" w:space="0" w:color="auto"/>
        <w:bottom w:val="none" w:sz="0" w:space="0" w:color="auto"/>
        <w:right w:val="none" w:sz="0" w:space="0" w:color="auto"/>
      </w:divBdr>
    </w:div>
    <w:div w:id="7428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eremy.pearce@internationaltin.org"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mailto:tc@internationalti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ternationaltin.org/tin-co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nternationaltin.org/wp-content/uploads/2019/06/ITA-TC-company-type-descriptions-v4-2105_EN.pdf" TargetMode="External"/><Relationship Id="rId4" Type="http://schemas.openxmlformats.org/officeDocument/2006/relationships/styles" Target="styles.xml"/><Relationship Id="rId9" Type="http://schemas.openxmlformats.org/officeDocument/2006/relationships/hyperlink" Target="https://www.internationaltin.org/investing-in-tin-semin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3AB680DDFE394D864A68C6E93A857B" ma:contentTypeVersion="16" ma:contentTypeDescription="Create a new document." ma:contentTypeScope="" ma:versionID="4c14ddf3f91315fa62dcd4c1cfa00f41">
  <xsd:schema xmlns:xsd="http://www.w3.org/2001/XMLSchema" xmlns:xs="http://www.w3.org/2001/XMLSchema" xmlns:p="http://schemas.microsoft.com/office/2006/metadata/properties" xmlns:ns2="44ecb6d3-df4b-4174-9cb3-f49a9721bdd5" xmlns:ns3="0d258b5b-e0ec-401a-b8d7-38427acc719a" targetNamespace="http://schemas.microsoft.com/office/2006/metadata/properties" ma:root="true" ma:fieldsID="78b6f6b1a8cfaf3aaa9ec89064e8e267" ns2:_="" ns3:_="">
    <xsd:import namespace="44ecb6d3-df4b-4174-9cb3-f49a9721bdd5"/>
    <xsd:import namespace="0d258b5b-e0ec-401a-b8d7-38427acc71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cb6d3-df4b-4174-9cb3-f49a9721b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a831ea-a418-45be-aee8-4695033987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258b5b-e0ec-401a-b8d7-38427acc71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c6bee9-3706-49a8-9ef9-126fab1473fe}" ma:internalName="TaxCatchAll" ma:showField="CatchAllData" ma:web="0d258b5b-e0ec-401a-b8d7-38427acc7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4274FC-1887-4F1D-AB16-FF6F37A21651}">
  <ds:schemaRefs>
    <ds:schemaRef ds:uri="http://schemas.microsoft.com/sharepoint/v3/contenttype/forms"/>
  </ds:schemaRefs>
</ds:datastoreItem>
</file>

<file path=customXml/itemProps2.xml><?xml version="1.0" encoding="utf-8"?>
<ds:datastoreItem xmlns:ds="http://schemas.openxmlformats.org/officeDocument/2006/customXml" ds:itemID="{F677B86B-BFF7-41B5-8A67-ECD30FC09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cb6d3-df4b-4174-9cb3-f49a9721bdd5"/>
    <ds:schemaRef ds:uri="0d258b5b-e0ec-401a-b8d7-38427acc7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Conroy</dc:creator>
  <cp:keywords/>
  <dc:description/>
  <cp:lastModifiedBy>Archie Rose</cp:lastModifiedBy>
  <cp:revision>4</cp:revision>
  <dcterms:created xsi:type="dcterms:W3CDTF">2022-12-01T15:25:00Z</dcterms:created>
  <dcterms:modified xsi:type="dcterms:W3CDTF">2022-12-01T16:19:00Z</dcterms:modified>
</cp:coreProperties>
</file>